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media/image2.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D9D9D9" w:themeFill="background1" w:themeFillShade="d9"/>
        <w:spacing w:lineRule="auto" w:line="240" w:before="0" w:after="0"/>
        <w:contextualSpacing/>
        <w:rPr>
          <w:rFonts w:cs="Arial"/>
          <w:b/>
          <w:sz w:val="40"/>
          <w:szCs w:val="40"/>
          <w:lang w:eastAsia="es-ES"/>
        </w:rPr>
      </w:pPr>
      <w:r>
        <w:rPr>
          <w:rFonts w:cs="Arial"/>
          <w:b/>
          <w:sz w:val="40"/>
          <w:szCs w:val="40"/>
          <w:lang w:eastAsia="es-ES"/>
        </w:rPr>
        <w:t>ANNEX 15</w:t>
      </w:r>
      <w:bookmarkStart w:id="0" w:name="_GoBack"/>
      <w:bookmarkEnd w:id="0"/>
    </w:p>
    <w:p>
      <w:pPr>
        <w:pStyle w:val="Normal"/>
        <w:shd w:val="clear" w:color="auto" w:fill="D9D9D9" w:themeFill="background1" w:themeFillShade="d9"/>
        <w:spacing w:lineRule="auto" w:line="240" w:before="0" w:after="0"/>
        <w:contextualSpacing/>
        <w:rPr>
          <w:rFonts w:cs="Arial"/>
          <w:b/>
          <w:sz w:val="40"/>
          <w:szCs w:val="40"/>
          <w:lang w:eastAsia="es-ES"/>
        </w:rPr>
      </w:pPr>
      <w:r>
        <w:rPr>
          <w:rFonts w:cs="Arial"/>
          <w:b/>
          <w:sz w:val="40"/>
          <w:szCs w:val="40"/>
          <w:lang w:eastAsia="es-ES"/>
        </w:rPr>
        <w:t xml:space="preserve">Model oferta TÈCNICA </w:t>
      </w:r>
    </w:p>
    <w:p>
      <w:pPr>
        <w:pStyle w:val="Normal"/>
        <w:spacing w:before="0" w:after="0"/>
        <w:contextualSpacing/>
        <w:jc w:val="both"/>
        <w:rPr>
          <w:rFonts w:eastAsia="Calibri" w:cs="Arial" w:eastAsiaTheme="minorHAnsi"/>
          <w:b/>
          <w:bCs/>
          <w:lang w:eastAsia="en-US"/>
        </w:rPr>
      </w:pPr>
      <w:r>
        <w:rPr>
          <w:rFonts w:eastAsia="Calibri" w:cs="Arial" w:eastAsiaTheme="minorHAnsi"/>
          <w:b/>
          <w:bCs/>
          <w:lang w:eastAsia="en-US"/>
        </w:rPr>
      </w:r>
    </w:p>
    <w:p>
      <w:pPr>
        <w:pStyle w:val="Normal"/>
        <w:spacing w:before="0" w:after="0"/>
        <w:contextualSpacing/>
        <w:jc w:val="both"/>
        <w:rPr>
          <w:rFonts w:eastAsia="Calibri" w:cs="Arial" w:eastAsiaTheme="minorHAnsi"/>
          <w:b/>
          <w:bCs/>
          <w:lang w:eastAsia="en-US"/>
        </w:rPr>
      </w:pPr>
      <w:r>
        <w:rPr>
          <w:rFonts w:eastAsia="Calibri" w:cs="Arial" w:eastAsiaTheme="minorHAnsi"/>
          <w:b/>
          <w:bCs/>
          <w:lang w:eastAsia="en-US"/>
        </w:rPr>
      </w:r>
    </w:p>
    <w:p>
      <w:pPr>
        <w:pStyle w:val="Normal"/>
        <w:spacing w:before="0" w:after="0"/>
        <w:contextualSpacing/>
        <w:jc w:val="both"/>
        <w:rPr>
          <w:rFonts w:eastAsia="Calibri" w:cs="Arial" w:eastAsiaTheme="minorHAnsi"/>
          <w:b/>
          <w:bCs/>
          <w:lang w:eastAsia="en-US"/>
        </w:rPr>
      </w:pPr>
      <w:r>
        <w:rPr>
          <w:rFonts w:eastAsia="Calibri" w:cs="Arial" w:eastAsiaTheme="minorHAnsi"/>
          <w:b/>
          <w:bCs/>
          <w:lang w:eastAsia="en-US"/>
        </w:rPr>
      </w:r>
    </w:p>
    <w:p>
      <w:pPr>
        <w:pStyle w:val="Normal"/>
        <w:jc w:val="both"/>
        <w:rPr/>
      </w:pPr>
      <w:r>
        <w:rPr>
          <w:rFonts w:ascii="CIDFont+F4" w:hAnsi="CIDFont+F4"/>
          <w:sz w:val="24"/>
        </w:rPr>
        <w:t>Els articles objecte d’aquesta licitació hauran de complir la normativa espanyola i comunitària vigent en matèria de qualitat, etiquetatge i envasat.</w:t>
      </w:r>
    </w:p>
    <w:p>
      <w:pPr>
        <w:pStyle w:val="Normal"/>
        <w:jc w:val="both"/>
        <w:rPr/>
      </w:pPr>
      <w:r>
        <w:rPr>
          <w:rFonts w:ascii="CIDFont+F4" w:hAnsi="CIDFont+F4"/>
          <w:sz w:val="24"/>
        </w:rPr>
        <w:t xml:space="preserve">En el cas de tractar-se de productes sanitaris, l’empresa licitadora haurà de presentar en el sobre 2 de forma imprescindible, la documentació acreditativa de compliment de la legislació vigent i de què els productes disposen del </w:t>
      </w:r>
      <w:r>
        <w:rPr>
          <w:rFonts w:ascii="CIDFont+F5" w:hAnsi="CIDFont+F5"/>
          <w:sz w:val="24"/>
        </w:rPr>
        <w:t>marcat de conformitat CE</w:t>
      </w:r>
      <w:r>
        <w:rPr>
          <w:rFonts w:ascii="CIDFont+F4" w:hAnsi="CIDFont+F4"/>
          <w:sz w:val="24"/>
        </w:rPr>
        <w:t>.</w:t>
      </w:r>
    </w:p>
    <w:p>
      <w:pPr>
        <w:pStyle w:val="Normal"/>
        <w:spacing w:before="0" w:after="0"/>
        <w:contextualSpacing/>
        <w:jc w:val="both"/>
        <w:rPr>
          <w:rFonts w:ascii="CIDFont+F4" w:hAnsi="CIDFont+F4" w:eastAsia="Calibri" w:cs="Arial" w:eastAsiaTheme="minorHAnsi"/>
          <w:b w:val="false"/>
          <w:bCs w:val="false"/>
          <w:sz w:val="24"/>
          <w:lang w:eastAsia="en-US"/>
        </w:rPr>
      </w:pPr>
      <w:r>
        <w:rPr>
          <w:rFonts w:eastAsia="Calibri" w:cs="Arial" w:eastAsiaTheme="minorHAnsi" w:ascii="CIDFont+F4" w:hAnsi="CIDFont+F4"/>
          <w:b w:val="false"/>
          <w:bCs w:val="false"/>
          <w:sz w:val="24"/>
          <w:lang w:eastAsia="en-US"/>
        </w:rPr>
        <w:t>Així mateix, pel que fa als productes sanitaris i les dades proporcionades pel fabricant, l’empresa haurà de presentar en el sobre 2 una declaració assegurant que tots els productes van etiquetats i aporten la documentació acomplint el contingut previst al RD 192/2023, de 21 de març, pel qual es regulen els productes sanitaris.</w:t>
      </w:r>
    </w:p>
    <w:p>
      <w:pPr>
        <w:pStyle w:val="Normal"/>
        <w:jc w:val="left"/>
        <w:rPr>
          <w:rFonts w:ascii="CIDFont+F4" w:hAnsi="CIDFont+F4"/>
          <w:sz w:val="24"/>
        </w:rPr>
      </w:pPr>
      <w:r>
        <w:rPr/>
      </w:r>
    </w:p>
    <w:p>
      <w:pPr>
        <w:pStyle w:val="Normal"/>
        <w:jc w:val="left"/>
        <w:rPr>
          <w:u w:val="single"/>
        </w:rPr>
      </w:pPr>
      <w:r>
        <w:rPr>
          <w:rFonts w:ascii="CIDFont+F5" w:hAnsi="CIDFont+F5"/>
          <w:sz w:val="24"/>
          <w:u w:val="single"/>
        </w:rPr>
        <w:t>Especificacions tècniques generals</w:t>
      </w:r>
    </w:p>
    <w:p>
      <w:pPr>
        <w:pStyle w:val="Normal"/>
        <w:jc w:val="left"/>
        <w:rPr>
          <w:rFonts w:ascii="CIDFont+F4" w:hAnsi="CIDFont+F4"/>
          <w:sz w:val="24"/>
        </w:rPr>
      </w:pPr>
      <w:r>
        <w:rPr>
          <w:rFonts w:ascii="CIDFont+F4" w:hAnsi="CIDFont+F4"/>
          <w:sz w:val="24"/>
        </w:rPr>
        <w:t>El licitador haurà de consignar les característiques dels productes presentant una fitxa tècnica on s’indiquin aquestes, per tal d’identificar la qualitat i condicions de cada producte.</w:t>
      </w:r>
    </w:p>
    <w:p>
      <w:pPr>
        <w:pStyle w:val="Normal"/>
        <w:jc w:val="left"/>
        <w:rPr>
          <w:rFonts w:ascii="CIDFont+F4" w:hAnsi="CIDFont+F4"/>
          <w:sz w:val="24"/>
        </w:rPr>
      </w:pPr>
      <w:r>
        <w:rPr>
          <w:rFonts w:ascii="CIDFont+F4" w:hAnsi="CIDFont+F4"/>
          <w:sz w:val="24"/>
        </w:rPr>
        <w:t>L’empresa adjudicatària es comprometrà a notificar a la Unitat de Gestió Econòmica de l’Hospital Universitari Vall d’Hebron, qualsevol canvi en les característiques del producte inicialment adjudicat que es pogués produir durant la vigència del contracte.</w:t>
      </w:r>
    </w:p>
    <w:p>
      <w:pPr>
        <w:pStyle w:val="Normal"/>
        <w:jc w:val="left"/>
        <w:rPr>
          <w:u w:val="single"/>
        </w:rPr>
      </w:pPr>
      <w:r>
        <w:rPr>
          <w:rFonts w:ascii="CIDFont+F5" w:hAnsi="CIDFont+F5"/>
          <w:sz w:val="24"/>
          <w:u w:val="single"/>
        </w:rPr>
        <w:t>Requisits tècnics específics d’obligat acompliment</w:t>
      </w:r>
    </w:p>
    <w:p>
      <w:pPr>
        <w:pStyle w:val="Normal"/>
        <w:jc w:val="left"/>
        <w:rPr>
          <w:rFonts w:ascii="CIDFont+F4" w:hAnsi="CIDFont+F4"/>
          <w:sz w:val="24"/>
        </w:rPr>
      </w:pPr>
      <w:r>
        <w:rPr>
          <w:rFonts w:ascii="CIDFont+F4" w:hAnsi="CIDFont+F4"/>
          <w:sz w:val="24"/>
        </w:rPr>
        <w:t>Els licitadors hauran d’aportar informació detallada sobre l’acompliment d’aquests requisits tècnics:</w:t>
      </w:r>
    </w:p>
    <w:p>
      <w:pPr>
        <w:pStyle w:val="Normal"/>
        <w:jc w:val="left"/>
        <w:rPr>
          <w:rFonts w:ascii="CIDFont+F4" w:hAnsi="CIDFont+F4"/>
          <w:sz w:val="24"/>
        </w:rPr>
      </w:pPr>
      <w:r>
        <w:rPr>
          <w:rFonts w:ascii="CIDFont+F7" w:hAnsi="CIDFont+F7"/>
          <w:sz w:val="20"/>
        </w:rPr>
        <w:t xml:space="preserve"> </w:t>
      </w:r>
      <w:r>
        <w:rPr>
          <w:rFonts w:ascii="CIDFont+F4" w:hAnsi="CIDFont+F4"/>
          <w:sz w:val="24"/>
        </w:rPr>
        <w:t>L’adjudicatari, mitjançant una planificació quirúrgica 3D individualitzada, dissenyarà l’implant a mida a partir de les proves d’imatge del pacient.</w:t>
      </w:r>
    </w:p>
    <w:p>
      <w:pPr>
        <w:pStyle w:val="Normal"/>
        <w:jc w:val="left"/>
        <w:rPr>
          <w:rFonts w:ascii="CIDFont+F4" w:hAnsi="CIDFont+F4"/>
          <w:sz w:val="24"/>
        </w:rPr>
      </w:pPr>
      <w:r>
        <w:rPr/>
      </w:r>
    </w:p>
    <w:p>
      <w:pPr>
        <w:pStyle w:val="Normal"/>
        <w:jc w:val="left"/>
        <w:rPr>
          <w:rFonts w:ascii="CIDFont+F4" w:hAnsi="CIDFont+F4"/>
          <w:sz w:val="24"/>
        </w:rPr>
      </w:pPr>
      <w:r>
        <w:rPr>
          <w:rFonts w:ascii="CIDFont+F7" w:hAnsi="CIDFont+F7"/>
          <w:sz w:val="20"/>
        </w:rPr>
        <w:t xml:space="preserve"> </w:t>
      </w:r>
      <w:r>
        <w:rPr>
          <w:rFonts w:ascii="CIDFont+F4" w:hAnsi="CIDFont+F4"/>
          <w:sz w:val="24"/>
        </w:rPr>
        <w:t>L’implant ha d’incloure una guia quirúrgica personalitzada per al tall de les costelles, ajustada a la prova d’imatge del pacient i amb ranures que assegurin el tall en la posició i orientació.</w:t>
      </w:r>
    </w:p>
    <w:p>
      <w:pPr>
        <w:pStyle w:val="Normal"/>
        <w:jc w:val="left"/>
        <w:rPr>
          <w:rFonts w:ascii="CIDFont+F4" w:hAnsi="CIDFont+F4"/>
          <w:sz w:val="24"/>
        </w:rPr>
      </w:pPr>
      <w:r>
        <w:rPr>
          <w:rFonts w:ascii="CIDFont+F7" w:hAnsi="CIDFont+F7"/>
          <w:sz w:val="20"/>
        </w:rPr>
        <w:t xml:space="preserve"> </w:t>
      </w:r>
      <w:r>
        <w:rPr>
          <w:rFonts w:ascii="CIDFont+F4" w:hAnsi="CIDFont+F4"/>
          <w:sz w:val="24"/>
        </w:rPr>
        <w:t>L’empresa adjudicatària aportarà la traçabilitat completa del procés de disseny, fabricació i esterilització, així com la correspondència entre l’implant final i la planificació quirúrgica aprovada.</w:t>
      </w:r>
    </w:p>
    <w:p>
      <w:pPr>
        <w:pStyle w:val="Normal"/>
        <w:jc w:val="left"/>
        <w:rPr>
          <w:rFonts w:ascii="CIDFont+F4" w:hAnsi="CIDFont+F4"/>
          <w:sz w:val="24"/>
        </w:rPr>
      </w:pPr>
      <w:r>
        <w:rPr>
          <w:rFonts w:ascii="CIDFont+F7" w:hAnsi="CIDFont+F7"/>
          <w:sz w:val="20"/>
        </w:rPr>
        <w:t xml:space="preserve"> </w:t>
      </w:r>
      <w:r>
        <w:rPr>
          <w:rFonts w:ascii="CIDFont+F4" w:hAnsi="CIDFont+F4"/>
          <w:sz w:val="24"/>
        </w:rPr>
        <w:t>L’implant ha de reproduir la curvatura tridimensional i el moviment fisiològic de la paret costal, preservant la biomecànica toràcica i evitant reconstruccions excessivament rígides,de manera que es garanteixi una flexibilitat adequada i una mecànica respiratòria fisiològica sense comprometre l’estabilitat.</w:t>
      </w:r>
    </w:p>
    <w:p>
      <w:pPr>
        <w:pStyle w:val="Normal"/>
        <w:jc w:val="left"/>
        <w:rPr>
          <w:rFonts w:ascii="CIDFont+F4" w:hAnsi="CIDFont+F4"/>
          <w:sz w:val="24"/>
        </w:rPr>
      </w:pPr>
      <w:r>
        <w:rPr>
          <w:rFonts w:ascii="CIDFont+F7" w:hAnsi="CIDFont+F7"/>
          <w:sz w:val="20"/>
        </w:rPr>
        <w:t xml:space="preserve"> </w:t>
      </w:r>
      <w:r>
        <w:rPr>
          <w:rFonts w:ascii="CIDFont+F4" w:hAnsi="CIDFont+F4"/>
          <w:sz w:val="24"/>
        </w:rPr>
        <w:t>La geometria de l’implant ha d’afavorir l’estabilitat, la integració amb els teixits tous circumdants i la reducció del risc de desplaçament o migració.</w:t>
      </w:r>
    </w:p>
    <w:p>
      <w:pPr>
        <w:pStyle w:val="Normal"/>
        <w:jc w:val="left"/>
        <w:rPr>
          <w:rFonts w:ascii="CIDFont+F4" w:hAnsi="CIDFont+F4"/>
          <w:sz w:val="24"/>
        </w:rPr>
      </w:pPr>
      <w:r>
        <w:rPr>
          <w:rFonts w:ascii="CIDFont+F7" w:hAnsi="CIDFont+F7"/>
          <w:sz w:val="20"/>
        </w:rPr>
        <w:t xml:space="preserve"> </w:t>
      </w:r>
      <w:r>
        <w:rPr>
          <w:rFonts w:ascii="CIDFont+F4" w:hAnsi="CIDFont+F4"/>
          <w:sz w:val="24"/>
        </w:rPr>
        <w:t>Compatibilitat de l’implant amb ressonància magnètica. Permet la realització</w:t>
      </w:r>
    </w:p>
    <w:p>
      <w:pPr>
        <w:pStyle w:val="Normal"/>
        <w:jc w:val="left"/>
        <w:rPr>
          <w:rFonts w:ascii="CIDFont+F4" w:hAnsi="CIDFont+F4"/>
          <w:sz w:val="24"/>
        </w:rPr>
      </w:pPr>
      <w:r>
        <w:rPr>
          <w:rFonts w:ascii="CIDFont+F4" w:hAnsi="CIDFont+F4"/>
          <w:sz w:val="24"/>
        </w:rPr>
        <w:t>d’exploracions postoperatòries sense interferències.</w:t>
      </w:r>
    </w:p>
    <w:p>
      <w:pPr>
        <w:pStyle w:val="Normal"/>
        <w:spacing w:before="0" w:after="0"/>
        <w:contextualSpacing/>
        <w:jc w:val="both"/>
        <w:rPr>
          <w:rFonts w:eastAsia="Calibri" w:cs="Arial" w:eastAsiaTheme="minorHAnsi"/>
          <w:b/>
          <w:bCs/>
          <w:lang w:eastAsia="en-US"/>
        </w:rPr>
      </w:pPr>
      <w:r>
        <w:rPr>
          <w:rFonts w:eastAsia="Calibri" w:cs="Arial" w:ascii="CIDFont+F7" w:hAnsi="CIDFont+F7" w:eastAsiaTheme="minorHAnsi"/>
          <w:b/>
          <w:bCs/>
          <w:sz w:val="20"/>
          <w:lang w:eastAsia="en-US"/>
        </w:rPr>
        <w:t xml:space="preserve"> </w:t>
      </w:r>
      <w:r>
        <w:rPr>
          <w:rFonts w:eastAsia="Calibri" w:cs="Arial" w:ascii="CIDFont+F4" w:hAnsi="CIDFont+F4" w:eastAsiaTheme="minorHAnsi"/>
          <w:b w:val="false"/>
          <w:bCs w:val="false"/>
          <w:sz w:val="24"/>
          <w:lang w:eastAsia="en-US"/>
        </w:rPr>
        <w:t xml:space="preserve">Compliment de la norma ASTM F136. Requisits per a aliatges de titani destinats a implants </w:t>
      </w:r>
      <w:r>
        <w:rPr>
          <w:rFonts w:ascii="CIDFont+F4" w:hAnsi="CIDFont+F4"/>
          <w:b w:val="false"/>
          <w:bCs w:val="false"/>
          <w:sz w:val="24"/>
        </w:rPr>
        <w:t>quirúrgics.</w:t>
      </w:r>
    </w:p>
    <w:p>
      <w:pPr>
        <w:pStyle w:val="Normal"/>
        <w:spacing w:before="0" w:after="0"/>
        <w:contextualSpacing/>
        <w:jc w:val="both"/>
        <w:rPr>
          <w:rFonts w:eastAsia="Calibri" w:cs="Arial" w:eastAsiaTheme="minorHAnsi"/>
          <w:b/>
          <w:bCs/>
          <w:lang w:eastAsia="en-US"/>
        </w:rPr>
      </w:pPr>
      <w:r>
        <w:rPr>
          <w:rFonts w:ascii="CIDFont+F4" w:hAnsi="CIDFont+F4"/>
          <w:b w:val="false"/>
          <w:bCs w:val="false"/>
          <w:sz w:val="24"/>
        </w:rPr>
      </w:r>
    </w:p>
    <w:p>
      <w:pPr>
        <w:pStyle w:val="Normal"/>
        <w:jc w:val="left"/>
        <w:rPr>
          <w:rFonts w:ascii="CIDFont+F4" w:hAnsi="CIDFont+F4"/>
          <w:sz w:val="24"/>
        </w:rPr>
      </w:pPr>
      <w:r>
        <w:rPr>
          <w:rFonts w:ascii="CIDFont+F7" w:hAnsi="CIDFont+F7"/>
          <w:sz w:val="20"/>
        </w:rPr>
        <w:t xml:space="preserve"> </w:t>
      </w:r>
      <w:r>
        <w:rPr>
          <w:rFonts w:ascii="CIDFont+F4" w:hAnsi="CIDFont+F4"/>
          <w:sz w:val="24"/>
        </w:rPr>
        <w:t>Compliment de la norma ISO 5832-3. Especificacions per a materials implantables de titani i els seus aliatges.</w:t>
      </w:r>
    </w:p>
    <w:p>
      <w:pPr>
        <w:pStyle w:val="Normal"/>
        <w:jc w:val="left"/>
        <w:rPr>
          <w:rFonts w:ascii="CIDFont+F5" w:hAnsi="CIDFont+F5"/>
          <w:sz w:val="24"/>
          <w:u w:val="single"/>
        </w:rPr>
      </w:pPr>
      <w:r>
        <w:rPr>
          <w:rFonts w:ascii="CIDFont+F5" w:hAnsi="CIDFont+F5"/>
          <w:sz w:val="24"/>
          <w:u w:val="single"/>
        </w:rPr>
        <w:t xml:space="preserve"> </w:t>
      </w:r>
      <w:r>
        <w:rPr>
          <w:rFonts w:ascii="CIDFont+F5" w:hAnsi="CIDFont+F5"/>
          <w:sz w:val="24"/>
          <w:u w:val="single"/>
        </w:rPr>
        <w:t>Requisits obligatoris addicionals</w:t>
      </w:r>
    </w:p>
    <w:p>
      <w:pPr>
        <w:pStyle w:val="Normal"/>
        <w:jc w:val="left"/>
        <w:rPr>
          <w:rFonts w:ascii="CIDFont+F5" w:hAnsi="CIDFont+F5"/>
          <w:sz w:val="24"/>
        </w:rPr>
      </w:pPr>
      <w:r>
        <w:rPr>
          <w:rFonts w:ascii="CIDFont+F5" w:hAnsi="CIDFont+F5"/>
          <w:sz w:val="24"/>
        </w:rPr>
        <w:t>1.</w:t>
      </w:r>
      <w:r>
        <w:rPr>
          <w:rFonts w:ascii="CIDFont+F5" w:hAnsi="CIDFont+F5"/>
          <w:sz w:val="24"/>
        </w:rPr>
        <w:t>Garantia dels articles</w:t>
      </w:r>
    </w:p>
    <w:p>
      <w:pPr>
        <w:pStyle w:val="Normal"/>
        <w:jc w:val="left"/>
        <w:rPr>
          <w:rFonts w:ascii="CIDFont+F4" w:hAnsi="CIDFont+F4"/>
          <w:sz w:val="24"/>
        </w:rPr>
      </w:pPr>
      <w:r>
        <w:rPr>
          <w:rFonts w:ascii="CIDFont+F4" w:hAnsi="CIDFont+F4"/>
          <w:sz w:val="24"/>
        </w:rPr>
        <w:t>El termini de garantia serà el legalment aplicable en aquest tipus de subministrament.</w:t>
      </w:r>
    </w:p>
    <w:p>
      <w:pPr>
        <w:pStyle w:val="Normal"/>
        <w:jc w:val="left"/>
        <w:rPr>
          <w:rFonts w:ascii="CIDFont+F5" w:hAnsi="CIDFont+F5"/>
          <w:sz w:val="24"/>
        </w:rPr>
      </w:pPr>
      <w:r>
        <w:rPr>
          <w:rFonts w:ascii="CIDFont+F5" w:hAnsi="CIDFont+F5"/>
          <w:sz w:val="24"/>
        </w:rPr>
        <w:t xml:space="preserve">2 </w:t>
      </w:r>
      <w:r>
        <w:rPr>
          <w:rFonts w:ascii="CIDFont+F5" w:hAnsi="CIDFont+F5"/>
          <w:sz w:val="24"/>
        </w:rPr>
        <w:t>Prevenció de riscos laborals</w:t>
      </w:r>
    </w:p>
    <w:p>
      <w:pPr>
        <w:pStyle w:val="Normal"/>
        <w:jc w:val="left"/>
        <w:rPr>
          <w:rFonts w:ascii="CIDFont+F4" w:hAnsi="CIDFont+F4"/>
          <w:sz w:val="24"/>
        </w:rPr>
      </w:pPr>
      <w:r>
        <w:rPr>
          <w:rFonts w:ascii="CIDFont+F4" w:hAnsi="CIDFont+F4"/>
          <w:sz w:val="24"/>
        </w:rPr>
        <w:t>L’adjudicatari haurà de complir amb la normativa específica de prevenció de riscos laborals. Així mateix, quan ho requereixin els serveis de prevenció de l’Hospital, s’aportarà la documentació necessària (Fitxes de Dades de Seguretat, FDS.) de tots aquells productes que puguin suposar algun risc per a la salut dels treballadors, d’acord amb el que estableixi la normativa vigent.</w:t>
      </w:r>
    </w:p>
    <w:p>
      <w:pPr>
        <w:pStyle w:val="Normal"/>
        <w:jc w:val="left"/>
        <w:rPr>
          <w:rFonts w:ascii="CIDFont+F4" w:hAnsi="CIDFont+F4"/>
          <w:sz w:val="24"/>
        </w:rPr>
      </w:pPr>
      <w:r>
        <w:rPr/>
      </w:r>
    </w:p>
    <w:p>
      <w:pPr>
        <w:pStyle w:val="Normal"/>
        <w:jc w:val="left"/>
        <w:rPr>
          <w:rFonts w:ascii="CIDFont+F4" w:hAnsi="CIDFont+F4"/>
          <w:sz w:val="24"/>
        </w:rPr>
      </w:pPr>
      <w:r>
        <w:rPr/>
      </w:r>
    </w:p>
    <w:p>
      <w:pPr>
        <w:pStyle w:val="Normal"/>
        <w:jc w:val="left"/>
        <w:rPr>
          <w:rFonts w:ascii="CIDFont+F4" w:hAnsi="CIDFont+F4"/>
          <w:sz w:val="24"/>
        </w:rPr>
      </w:pPr>
      <w:r>
        <w:rPr/>
      </w:r>
    </w:p>
    <w:p>
      <w:pPr>
        <w:pStyle w:val="Normal"/>
        <w:jc w:val="left"/>
        <w:rPr>
          <w:rFonts w:ascii="CIDFont+F5" w:hAnsi="CIDFont+F5"/>
          <w:sz w:val="24"/>
        </w:rPr>
      </w:pPr>
      <w:r>
        <w:rPr>
          <w:rFonts w:ascii="CIDFont+F5" w:hAnsi="CIDFont+F5"/>
          <w:sz w:val="24"/>
        </w:rPr>
        <w:t>3. Formació</w:t>
      </w:r>
    </w:p>
    <w:p>
      <w:pPr>
        <w:pStyle w:val="Normal"/>
        <w:jc w:val="left"/>
        <w:rPr>
          <w:rFonts w:ascii="CIDFont+F4" w:hAnsi="CIDFont+F4"/>
          <w:sz w:val="24"/>
        </w:rPr>
      </w:pPr>
      <w:r>
        <w:rPr>
          <w:rFonts w:ascii="CIDFont+F4" w:hAnsi="CIDFont+F4"/>
          <w:sz w:val="24"/>
        </w:rPr>
        <w:t>Si l’Hospital ho requereix, les empreses adjudicatàries hauran de formar al personal clínic per al correcte ús dels productes.</w:t>
      </w:r>
    </w:p>
    <w:p>
      <w:pPr>
        <w:pStyle w:val="Normal"/>
        <w:jc w:val="left"/>
        <w:rPr>
          <w:rFonts w:ascii="CIDFont+F5" w:hAnsi="CIDFont+F5"/>
          <w:sz w:val="24"/>
        </w:rPr>
      </w:pPr>
      <w:r>
        <w:rPr>
          <w:rFonts w:ascii="CIDFont+F5" w:hAnsi="CIDFont+F5"/>
          <w:sz w:val="24"/>
        </w:rPr>
        <w:t>4. Manual de l’usuari</w:t>
      </w:r>
    </w:p>
    <w:p>
      <w:pPr>
        <w:pStyle w:val="Normal"/>
        <w:jc w:val="left"/>
        <w:rPr>
          <w:rFonts w:ascii="CIDFont+F4" w:hAnsi="CIDFont+F4"/>
          <w:sz w:val="24"/>
        </w:rPr>
      </w:pPr>
      <w:r>
        <w:rPr>
          <w:rFonts w:ascii="CIDFont+F4" w:hAnsi="CIDFont+F4"/>
          <w:sz w:val="24"/>
        </w:rPr>
        <w:t>El proveïdor haurà de lliurar un manual d’usuari o protocol d’utilització del material, en català</w:t>
      </w:r>
      <w:r>
        <w:rPr>
          <w:rFonts w:ascii="CIDFont+F4" w:hAnsi="CIDFont+F4"/>
          <w:b w:val="false"/>
          <w:bCs w:val="false"/>
          <w:sz w:val="24"/>
        </w:rPr>
        <w:t xml:space="preserve"> </w:t>
      </w:r>
      <w:r>
        <w:rPr>
          <w:rFonts w:eastAsia="Calibri" w:cs="Arial" w:ascii="CIDFont+F4" w:hAnsi="CIDFont+F4" w:eastAsiaTheme="minorHAnsi"/>
          <w:b w:val="false"/>
          <w:bCs w:val="false"/>
          <w:sz w:val="24"/>
          <w:lang w:eastAsia="en-US"/>
        </w:rPr>
        <w:t>o castellà.</w:t>
      </w:r>
    </w:p>
    <w:p>
      <w:pPr>
        <w:pStyle w:val="Normal"/>
        <w:spacing w:before="0" w:after="0"/>
        <w:contextualSpacing/>
        <w:jc w:val="both"/>
        <w:rPr>
          <w:rFonts w:eastAsia="Calibri" w:cs="Arial" w:eastAsiaTheme="minorHAnsi"/>
          <w:b/>
          <w:bCs/>
          <w:lang w:eastAsia="en-US"/>
        </w:rPr>
      </w:pPr>
      <w:r>
        <w:rPr>
          <w:rFonts w:eastAsia="Calibri" w:cs="Arial" w:eastAsiaTheme="minorHAnsi" w:ascii="CIDFont+F4" w:hAnsi="CIDFont+F4"/>
          <w:b/>
          <w:bCs/>
          <w:sz w:val="24"/>
          <w:lang w:eastAsia="en-US"/>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701" w:gutter="0" w:header="709" w:top="2410" w:footer="709" w:bottom="1843"/>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swiss"/>
    <w:pitch w:val="variable"/>
  </w:font>
  <w:font w:name="Liberation Sans">
    <w:altName w:val="Arial"/>
    <w:charset w:val="00"/>
    <w:family w:val="swiss"/>
    <w:pitch w:val="variable"/>
  </w:font>
  <w:font w:name="CIDFont+F4">
    <w:charset w:val="00"/>
    <w:family w:val="swiss"/>
    <w:pitch w:val="variable"/>
  </w:font>
  <w:font w:name="CIDFont+F5">
    <w:charset w:val="00"/>
    <w:family w:val="swiss"/>
    <w:pitch w:val="variable"/>
  </w:font>
  <w:font w:name="CIDFont+F4">
    <w:charset w:val="00"/>
    <w:family w:val="roman"/>
    <w:pitch w:val="variable"/>
  </w:font>
  <w:font w:name="CIDFont+F7">
    <w:charset w:val="00"/>
    <w:family w:val="swiss"/>
    <w:pitch w:val="variable"/>
  </w:font>
  <w:font w:name="CIDFont+F5">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7">
          <wp:simplePos x="0" y="0"/>
          <wp:positionH relativeFrom="page">
            <wp:posOffset>5444490</wp:posOffset>
          </wp:positionH>
          <wp:positionV relativeFrom="paragraph">
            <wp:posOffset>-194310</wp:posOffset>
          </wp:positionV>
          <wp:extent cx="1449705" cy="316230"/>
          <wp:effectExtent l="0" t="0" r="0" b="0"/>
          <wp:wrapNone/>
          <wp:docPr id="3"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anchor behindDoc="1" distT="0" distB="0" distL="0" distR="0" simplePos="0" locked="0" layoutInCell="0" allowOverlap="1" relativeHeight="7">
          <wp:simplePos x="0" y="0"/>
          <wp:positionH relativeFrom="page">
            <wp:posOffset>5444490</wp:posOffset>
          </wp:positionH>
          <wp:positionV relativeFrom="paragraph">
            <wp:posOffset>-194310</wp:posOffset>
          </wp:positionV>
          <wp:extent cx="1449705" cy="316230"/>
          <wp:effectExtent l="0" t="0" r="0" b="0"/>
          <wp:wrapNone/>
          <wp:docPr id="4"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4">
          <wp:simplePos x="0" y="0"/>
          <wp:positionH relativeFrom="page">
            <wp:posOffset>622300</wp:posOffset>
          </wp:positionH>
          <wp:positionV relativeFrom="page">
            <wp:posOffset>616585</wp:posOffset>
          </wp:positionV>
          <wp:extent cx="1744345" cy="34607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1"/>
                  <a:stretch>
                    <a:fillRect/>
                  </a:stretch>
                </pic:blipFill>
                <pic:spPr bwMode="auto">
                  <a:xfrm>
                    <a:off x="0" y="0"/>
                    <a:ext cx="1744345" cy="346075"/>
                  </a:xfrm>
                  <a:prstGeom prst="rect">
                    <a:avLst/>
                  </a:prstGeom>
                  <a:noFill/>
                </pic:spPr>
              </pic:pic>
            </a:graphicData>
          </a:graphic>
        </wp:anchor>
      </w:drawing>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0" allowOverlap="1" relativeHeight="4">
          <wp:simplePos x="0" y="0"/>
          <wp:positionH relativeFrom="page">
            <wp:posOffset>622300</wp:posOffset>
          </wp:positionH>
          <wp:positionV relativeFrom="page">
            <wp:posOffset>616585</wp:posOffset>
          </wp:positionV>
          <wp:extent cx="1744345" cy="346075"/>
          <wp:effectExtent l="0" t="0" r="0" b="0"/>
          <wp:wrapNone/>
          <wp:docPr id="2"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
                  <pic:cNvPicPr>
                    <a:picLocks noChangeAspect="1" noChangeArrowheads="1"/>
                  </pic:cNvPicPr>
                </pic:nvPicPr>
                <pic:blipFill>
                  <a:blip r:embed="rId1"/>
                  <a:stretch>
                    <a:fillRect/>
                  </a:stretch>
                </pic:blipFill>
                <pic:spPr bwMode="auto">
                  <a:xfrm>
                    <a:off x="0" y="0"/>
                    <a:ext cx="1744345" cy="346075"/>
                  </a:xfrm>
                  <a:prstGeom prst="rect">
                    <a:avLst/>
                  </a:prstGeom>
                  <a:noFill/>
                </pic:spPr>
              </pic:pic>
            </a:graphicData>
          </a:graphic>
        </wp:anchor>
      </w:drawing>
    </w:r>
  </w:p>
  <w:p>
    <w:pPr>
      <w:pStyle w:val="Header"/>
      <w:rPr/>
    </w:pPr>
    <w:r>
      <w:rPr/>
    </w:r>
  </w:p>
</w:hdr>
</file>

<file path=word/settings.xml><?xml version="1.0" encoding="utf-8"?>
<w:settings xmlns:w="http://schemas.openxmlformats.org/wordprocessingml/2006/main">
  <w:zoom w:percent="110"/>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a-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54d8"/>
    <w:pPr>
      <w:widowControl/>
      <w:bidi w:val="0"/>
      <w:spacing w:lineRule="auto" w:line="276" w:before="0" w:after="200"/>
      <w:jc w:val="left"/>
    </w:pPr>
    <w:rPr>
      <w:rFonts w:ascii="Arial" w:hAnsi="Arial" w:eastAsia="Times New Roman" w:cs="Times New Roman"/>
      <w:color w:val="auto"/>
      <w:kern w:val="0"/>
      <w:sz w:val="22"/>
      <w:szCs w:val="22"/>
      <w:lang w:eastAsia="ca-ES" w:val="ca-ES" w:bidi="ar-SA"/>
    </w:rPr>
  </w:style>
  <w:style w:type="character" w:styleId="DefaultParagraphFont" w:default="1">
    <w:name w:val="Default Paragraph Font"/>
    <w:uiPriority w:val="1"/>
    <w:semiHidden/>
    <w:unhideWhenUsed/>
    <w:qFormat/>
    <w:rPr/>
  </w:style>
  <w:style w:type="character" w:styleId="CapaleraCar" w:customStyle="1">
    <w:name w:val="Capçalera Car"/>
    <w:basedOn w:val="DefaultParagraphFont"/>
    <w:uiPriority w:val="99"/>
    <w:qFormat/>
    <w:rsid w:val="00f454d8"/>
    <w:rPr>
      <w:rFonts w:ascii="Arial" w:hAnsi="Arial" w:eastAsia="Times New Roman" w:cs="Times New Roman"/>
      <w:lang w:eastAsia="ca-ES"/>
    </w:rPr>
  </w:style>
  <w:style w:type="character" w:styleId="PeuCar" w:customStyle="1">
    <w:name w:val="Peu Car"/>
    <w:basedOn w:val="DefaultParagraphFont"/>
    <w:uiPriority w:val="99"/>
    <w:qFormat/>
    <w:rsid w:val="00f454d8"/>
    <w:rPr>
      <w:rFonts w:ascii="Arial" w:hAnsi="Arial" w:eastAsia="Times New Roman" w:cs="Times New Roman"/>
      <w:lang w:eastAsia="ca-ES"/>
    </w:rPr>
  </w:style>
  <w:style w:type="character" w:styleId="TextdeglobusCar" w:customStyle="1">
    <w:name w:val="Text de globus Car"/>
    <w:basedOn w:val="DefaultParagraphFont"/>
    <w:link w:val="BalloonText"/>
    <w:uiPriority w:val="99"/>
    <w:semiHidden/>
    <w:qFormat/>
    <w:rsid w:val="00f454d8"/>
    <w:rPr>
      <w:rFonts w:ascii="Tahoma" w:hAnsi="Tahoma" w:eastAsia="Times New Roman" w:cs="Tahoma"/>
      <w:sz w:val="16"/>
      <w:szCs w:val="16"/>
      <w:lang w:eastAsia="ca-ES"/>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Capaleraipeudepgina">
    <w:name w:val="Capçalera i peu de pàgina"/>
    <w:basedOn w:val="Normal"/>
    <w:qFormat/>
    <w:pPr/>
    <w:rPr/>
  </w:style>
  <w:style w:type="paragraph" w:styleId="Header">
    <w:name w:val="header"/>
    <w:basedOn w:val="Normal"/>
    <w:link w:val="CapaleraCar"/>
    <w:uiPriority w:val="99"/>
    <w:unhideWhenUsed/>
    <w:rsid w:val="00f454d8"/>
    <w:pPr>
      <w:tabs>
        <w:tab w:val="clear" w:pos="708"/>
        <w:tab w:val="center" w:pos="4252" w:leader="none"/>
        <w:tab w:val="right" w:pos="8504" w:leader="none"/>
      </w:tabs>
      <w:spacing w:lineRule="auto" w:line="240" w:before="0" w:after="0"/>
    </w:pPr>
    <w:rPr/>
  </w:style>
  <w:style w:type="paragraph" w:styleId="Footer">
    <w:name w:val="footer"/>
    <w:basedOn w:val="Normal"/>
    <w:link w:val="PeuCar"/>
    <w:uiPriority w:val="99"/>
    <w:unhideWhenUsed/>
    <w:rsid w:val="00f454d8"/>
    <w:pPr>
      <w:tabs>
        <w:tab w:val="clear" w:pos="708"/>
        <w:tab w:val="center" w:pos="4252" w:leader="none"/>
        <w:tab w:val="right" w:pos="8504" w:leader="none"/>
      </w:tabs>
      <w:spacing w:lineRule="auto" w:line="240" w:before="0" w:after="0"/>
    </w:pPr>
    <w:rPr/>
  </w:style>
  <w:style w:type="paragraph" w:styleId="BalloonText">
    <w:name w:val="Balloon Text"/>
    <w:basedOn w:val="Normal"/>
    <w:link w:val="TextdeglobusCar"/>
    <w:uiPriority w:val="99"/>
    <w:semiHidden/>
    <w:unhideWhenUsed/>
    <w:qFormat/>
    <w:rsid w:val="00f454d8"/>
    <w:pPr>
      <w:spacing w:lineRule="auto" w:line="240" w:before="0" w:after="0"/>
    </w:pPr>
    <w:rPr>
      <w:rFonts w:ascii="Tahoma" w:hAnsi="Tahoma" w:cs="Tahoma"/>
      <w:sz w:val="16"/>
      <w:szCs w:val="16"/>
    </w:rPr>
  </w:style>
  <w:style w:type="paragraph" w:styleId="Nria12" w:customStyle="1">
    <w:name w:val="Núria 12"/>
    <w:basedOn w:val="Header"/>
    <w:qFormat/>
    <w:rsid w:val="00f454d8"/>
    <w:pPr>
      <w:tabs>
        <w:tab w:val="left" w:pos="993" w:leader="none"/>
        <w:tab w:val="center" w:pos="4252" w:leader="none"/>
        <w:tab w:val="right" w:pos="8504" w:leader="none"/>
      </w:tabs>
    </w:pPr>
    <w:rPr>
      <w:sz w:val="24"/>
      <w:szCs w:val="20"/>
      <w:lang w:eastAsia="es-ES"/>
    </w:rPr>
  </w:style>
  <w:style w:type="paragraph" w:styleId="ListParagraph">
    <w:name w:val="List Paragraph"/>
    <w:basedOn w:val="Normal"/>
    <w:uiPriority w:val="34"/>
    <w:qFormat/>
    <w:rsid w:val="007d7384"/>
    <w:pPr>
      <w:spacing w:before="0" w:after="200"/>
      <w:ind w:left="720"/>
      <w:contextualSpacing/>
    </w:pPr>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2.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A2C02-DC6B-4B98-BC6F-76C9A971CBA7}"/>
</file>

<file path=customXml/itemProps2.xml><?xml version="1.0" encoding="utf-8"?>
<ds:datastoreItem xmlns:ds="http://schemas.openxmlformats.org/officeDocument/2006/customXml" ds:itemID="{BBC7C022-6752-4645-9A92-332FAE1DF8B0}"/>
</file>

<file path=customXml/itemProps3.xml><?xml version="1.0" encoding="utf-8"?>
<ds:datastoreItem xmlns:ds="http://schemas.openxmlformats.org/officeDocument/2006/customXml" ds:itemID="{482569A2-8742-4737-BCA2-935B37A9DAB6}"/>
</file>

<file path=docProps/app.xml><?xml version="1.0" encoding="utf-8"?>
<Properties xmlns="http://schemas.openxmlformats.org/officeDocument/2006/extended-properties" xmlns:vt="http://schemas.openxmlformats.org/officeDocument/2006/docPropsVTypes">
  <Template>Normal</Template>
  <TotalTime>3</TotalTime>
  <Application>LibreOffice/25.2.2.1$Windows_X86_64 LibreOffice_project/38d746d66d9b82fa248a2e90142b9dd3ddd1d6cd</Application>
  <AppVersion>15.0000</AppVersion>
  <Pages>3</Pages>
  <Words>514</Words>
  <Characters>3075</Characters>
  <CharactersWithSpaces>3563</CharactersWithSpaces>
  <Paragraphs>28</Paragraphs>
  <Company>CTTI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2023-06-16T11:59:00Z</dcterms:created>
  <dc:creator>Blanca Olmo Panadero</dc:creator>
  <dc:description/>
  <dc:language>ca-ES</dc:language>
  <cp:lastModifiedBy/>
  <cp:lastPrinted>2018-12-18T08:58:00Z</cp:lastPrinted>
  <dcterms:modified xsi:type="dcterms:W3CDTF">2026-07-30T11:23:48Z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